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142"/>
        <w:gridCol w:w="285"/>
        <w:gridCol w:w="711"/>
        <w:gridCol w:w="1422"/>
        <w:gridCol w:w="1422"/>
        <w:gridCol w:w="711"/>
        <w:gridCol w:w="427"/>
        <w:gridCol w:w="1280"/>
        <w:gridCol w:w="996"/>
        <w:gridCol w:w="2844"/>
        <w:gridCol w:w="569"/>
      </w:tblGrid>
      <w:tr w:rsidR="00AF5D70">
        <w:trPr>
          <w:trHeight w:hRule="exact" w:val="1538"/>
        </w:trPr>
        <w:tc>
          <w:tcPr>
            <w:tcW w:w="4693" w:type="dxa"/>
            <w:gridSpan w:val="6"/>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547" w:type="dxa"/>
            <w:gridSpan w:val="4"/>
            <w:tcBorders>
              <w:top w:val="nil"/>
              <w:left w:val="nil"/>
              <w:bottom w:val="nil"/>
              <w:right w:val="nil"/>
            </w:tcBorders>
            <w:shd w:val="clear" w:color="auto" w:fill="FFFFFF"/>
          </w:tcPr>
          <w:p w:rsidR="00AF5D70" w:rsidRDefault="00852EBF">
            <w:pPr>
              <w:widowControl w:val="0"/>
              <w:autoSpaceDE w:val="0"/>
              <w:autoSpaceDN w:val="0"/>
              <w:adjustRightInd w:val="0"/>
              <w:spacing w:after="0" w:line="247" w:lineRule="exact"/>
              <w:ind w:left="30" w:right="30"/>
              <w:jc w:val="both"/>
              <w:rPr>
                <w:rFonts w:ascii="Times New Roman" w:hAnsi="Times New Roman" w:cs="Times New Roman"/>
                <w:color w:val="000000"/>
              </w:rPr>
            </w:pPr>
            <w:r>
              <w:rPr>
                <w:rFonts w:ascii="Times New Roman" w:hAnsi="Times New Roman" w:cs="Times New Roman"/>
                <w:color w:val="000000"/>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30.08.2021 №94.</w:t>
            </w:r>
          </w:p>
        </w:tc>
        <w:tc>
          <w:tcPr>
            <w:tcW w:w="569" w:type="dxa"/>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140"/>
        </w:trPr>
        <w:tc>
          <w:tcPr>
            <w:tcW w:w="4693" w:type="dxa"/>
            <w:gridSpan w:val="6"/>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5547" w:type="dxa"/>
            <w:gridSpan w:val="4"/>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589"/>
        </w:trPr>
        <w:tc>
          <w:tcPr>
            <w:tcW w:w="10240" w:type="dxa"/>
            <w:gridSpan w:val="10"/>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r>
              <w:rPr>
                <w:rFonts w:ascii="Times New Roman" w:hAnsi="Times New Roman" w:cs="Times New Roman"/>
                <w:color w:val="000000"/>
                <w:sz w:val="24"/>
                <w:szCs w:val="24"/>
              </w:rPr>
              <w:br/>
              <w:t>«Омская гуманитарная академия»</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317"/>
        </w:trPr>
        <w:tc>
          <w:tcPr>
            <w:tcW w:w="10240" w:type="dxa"/>
            <w:gridSpan w:val="10"/>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Кафедра "Педагогики, психологии и социальной работы"</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213"/>
        </w:trPr>
        <w:tc>
          <w:tcPr>
            <w:tcW w:w="10240" w:type="dxa"/>
            <w:gridSpan w:val="10"/>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4"/>
                <w:szCs w:val="14"/>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4"/>
                <w:szCs w:val="14"/>
              </w:rPr>
            </w:pPr>
          </w:p>
        </w:tc>
      </w:tr>
      <w:tr w:rsidR="00AF5D70">
        <w:trPr>
          <w:trHeight w:hRule="exact" w:val="280"/>
        </w:trPr>
        <w:tc>
          <w:tcPr>
            <w:tcW w:w="6400" w:type="dxa"/>
            <w:gridSpan w:val="8"/>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18"/>
                <w:szCs w:val="18"/>
              </w:rPr>
            </w:pPr>
          </w:p>
        </w:tc>
      </w:tr>
      <w:tr w:rsidR="00AF5D70">
        <w:trPr>
          <w:trHeight w:hRule="exact" w:val="979"/>
        </w:trPr>
        <w:tc>
          <w:tcPr>
            <w:tcW w:w="6400" w:type="dxa"/>
            <w:gridSpan w:val="8"/>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3840" w:type="dxa"/>
            <w:gridSpan w:val="2"/>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Ректор, д.фил.н., профессор</w:t>
            </w:r>
            <w:r>
              <w:rPr>
                <w:rFonts w:ascii="Times New Roman" w:hAnsi="Times New Roman" w:cs="Times New Roman"/>
                <w:color w:val="000000"/>
                <w:sz w:val="24"/>
                <w:szCs w:val="24"/>
              </w:rPr>
              <w:br/>
            </w:r>
            <w:r>
              <w:rPr>
                <w:rFonts w:ascii="Times New Roman" w:hAnsi="Times New Roman" w:cs="Times New Roman"/>
                <w:color w:val="000000"/>
                <w:sz w:val="24"/>
                <w:szCs w:val="24"/>
              </w:rPr>
              <w:br/>
              <w:t>______________А.Э. Еремеев</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280"/>
        </w:trPr>
        <w:tc>
          <w:tcPr>
            <w:tcW w:w="6400" w:type="dxa"/>
            <w:gridSpan w:val="8"/>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right"/>
              <w:rPr>
                <w:rFonts w:ascii="Times New Roman" w:hAnsi="Times New Roman" w:cs="Times New Roman"/>
                <w:color w:val="000000"/>
                <w:sz w:val="24"/>
                <w:szCs w:val="24"/>
              </w:rPr>
            </w:pPr>
            <w:r>
              <w:rPr>
                <w:rFonts w:ascii="Times New Roman" w:hAnsi="Times New Roman" w:cs="Times New Roman"/>
                <w:color w:val="000000"/>
                <w:sz w:val="24"/>
                <w:szCs w:val="24"/>
              </w:rPr>
              <w:t>30.08.2021 г.</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right"/>
              <w:rPr>
                <w:rFonts w:ascii="Tahoma" w:hAnsi="Tahoma" w:cs="Tahoma"/>
                <w:sz w:val="18"/>
                <w:szCs w:val="18"/>
              </w:rPr>
            </w:pPr>
          </w:p>
        </w:tc>
      </w:tr>
      <w:tr w:rsidR="00AF5D70">
        <w:trPr>
          <w:trHeight w:hRule="exact" w:val="280"/>
        </w:trPr>
        <w:tc>
          <w:tcPr>
            <w:tcW w:w="6400" w:type="dxa"/>
            <w:gridSpan w:val="8"/>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3840" w:type="dxa"/>
            <w:gridSpan w:val="2"/>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420"/>
        </w:trPr>
        <w:tc>
          <w:tcPr>
            <w:tcW w:w="10240" w:type="dxa"/>
            <w:gridSpan w:val="10"/>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ДИСЦИПЛИНЫ</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780"/>
        </w:trPr>
        <w:tc>
          <w:tcPr>
            <w:tcW w:w="2560" w:type="dxa"/>
            <w:gridSpan w:val="4"/>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4836" w:type="dxa"/>
            <w:gridSpan w:val="5"/>
            <w:tcBorders>
              <w:top w:val="nil"/>
              <w:left w:val="nil"/>
              <w:bottom w:val="nil"/>
              <w:right w:val="nil"/>
            </w:tcBorders>
            <w:shd w:val="clear" w:color="auto" w:fill="FFFFFF"/>
          </w:tcPr>
          <w:p w:rsidR="00AF5D70" w:rsidRDefault="00852EBF">
            <w:pPr>
              <w:widowControl w:val="0"/>
              <w:autoSpaceDE w:val="0"/>
              <w:autoSpaceDN w:val="0"/>
              <w:adjustRightInd w:val="0"/>
              <w:spacing w:after="0" w:line="363" w:lineRule="exact"/>
              <w:ind w:left="30" w:right="30"/>
              <w:jc w:val="center"/>
              <w:rPr>
                <w:rFonts w:ascii="Times New Roman" w:hAnsi="Times New Roman" w:cs="Times New Roman"/>
                <w:color w:val="000000"/>
                <w:sz w:val="32"/>
                <w:szCs w:val="32"/>
              </w:rPr>
            </w:pPr>
            <w:r>
              <w:rPr>
                <w:rFonts w:ascii="Times New Roman" w:hAnsi="Times New Roman" w:cs="Times New Roman"/>
                <w:color w:val="000000"/>
                <w:sz w:val="32"/>
                <w:szCs w:val="32"/>
              </w:rPr>
              <w:t>Нарушения чтения и письма</w:t>
            </w:r>
            <w:r>
              <w:rPr>
                <w:rFonts w:ascii="Times New Roman" w:hAnsi="Times New Roman" w:cs="Times New Roman"/>
                <w:color w:val="000000"/>
                <w:sz w:val="32"/>
                <w:szCs w:val="32"/>
              </w:rPr>
              <w:br/>
              <w:t>К.М.04.05</w:t>
            </w:r>
          </w:p>
        </w:tc>
        <w:tc>
          <w:tcPr>
            <w:tcW w:w="2844"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280"/>
        </w:trPr>
        <w:tc>
          <w:tcPr>
            <w:tcW w:w="10240" w:type="dxa"/>
            <w:gridSpan w:val="10"/>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по программе бакалавриата</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18"/>
                <w:szCs w:val="18"/>
              </w:rPr>
            </w:pPr>
          </w:p>
        </w:tc>
      </w:tr>
      <w:tr w:rsidR="00AF5D70">
        <w:trPr>
          <w:trHeight w:hRule="exact" w:val="1406"/>
        </w:trPr>
        <w:tc>
          <w:tcPr>
            <w:tcW w:w="427" w:type="dxa"/>
            <w:gridSpan w:val="2"/>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813" w:type="dxa"/>
            <w:gridSpan w:val="8"/>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подготовки: 44.03.03 Специальное (дефектологическое) образование (высшее образование - бакалавриат)</w:t>
            </w:r>
            <w:r>
              <w:rPr>
                <w:rFonts w:ascii="Times New Roman" w:hAnsi="Times New Roman" w:cs="Times New Roman"/>
                <w:color w:val="000000"/>
                <w:sz w:val="24"/>
                <w:szCs w:val="24"/>
              </w:rPr>
              <w:br/>
              <w:t>Направленность (профиль) программы: «Логопедия (Начальное образование детей с нарушениями речи)»</w:t>
            </w:r>
            <w:r>
              <w:rPr>
                <w:rFonts w:ascii="Times New Roman" w:hAnsi="Times New Roman" w:cs="Times New Roman"/>
                <w:color w:val="000000"/>
                <w:sz w:val="24"/>
                <w:szCs w:val="24"/>
              </w:rPr>
              <w:br/>
              <w:t xml:space="preserve">Области профессиональной деятельности и (или) сферы профессиональной деятельности. </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839"/>
        </w:trPr>
        <w:tc>
          <w:tcPr>
            <w:tcW w:w="10240" w:type="dxa"/>
            <w:gridSpan w:val="10"/>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280"/>
        </w:trPr>
        <w:tc>
          <w:tcPr>
            <w:tcW w:w="3982" w:type="dxa"/>
            <w:gridSpan w:val="5"/>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Профессиональные стандарты:</w:t>
            </w:r>
          </w:p>
        </w:tc>
        <w:tc>
          <w:tcPr>
            <w:tcW w:w="6258" w:type="dxa"/>
            <w:gridSpan w:val="5"/>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57"/>
        </w:trPr>
        <w:tc>
          <w:tcPr>
            <w:tcW w:w="3982" w:type="dxa"/>
            <w:gridSpan w:val="5"/>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0"/>
                <w:szCs w:val="10"/>
              </w:rPr>
            </w:pPr>
          </w:p>
        </w:tc>
        <w:tc>
          <w:tcPr>
            <w:tcW w:w="6258" w:type="dxa"/>
            <w:gridSpan w:val="5"/>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0"/>
                <w:szCs w:val="10"/>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0"/>
                <w:szCs w:val="10"/>
              </w:rPr>
            </w:pPr>
          </w:p>
        </w:tc>
      </w:tr>
      <w:tr w:rsidR="00AF5D70">
        <w:trPr>
          <w:trHeight w:hRule="exact" w:val="307"/>
        </w:trPr>
        <w:tc>
          <w:tcPr>
            <w:tcW w:w="1138"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102" w:type="dxa"/>
            <w:gridSpan w:val="7"/>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И НАУКА</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307"/>
        </w:trPr>
        <w:tc>
          <w:tcPr>
            <w:tcW w:w="1138" w:type="dxa"/>
            <w:gridSpan w:val="3"/>
            <w:tcBorders>
              <w:top w:val="single" w:sz="8" w:space="0" w:color="000000"/>
              <w:left w:val="single" w:sz="8" w:space="0" w:color="000000"/>
              <w:bottom w:val="nil"/>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01.001</w:t>
            </w:r>
          </w:p>
        </w:tc>
        <w:tc>
          <w:tcPr>
            <w:tcW w:w="9102" w:type="dxa"/>
            <w:gridSpan w:val="7"/>
            <w:vMerge w:val="restart"/>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555"/>
        </w:trPr>
        <w:tc>
          <w:tcPr>
            <w:tcW w:w="1138" w:type="dxa"/>
            <w:gridSpan w:val="3"/>
            <w:tcBorders>
              <w:top w:val="nil"/>
              <w:left w:val="single" w:sz="8" w:space="0" w:color="000000"/>
              <w:bottom w:val="single" w:sz="8" w:space="0" w:color="000000"/>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102" w:type="dxa"/>
            <w:gridSpan w:val="7"/>
            <w:vMerge/>
            <w:tcBorders>
              <w:top w:val="single" w:sz="8" w:space="0" w:color="000000"/>
              <w:left w:val="single" w:sz="8" w:space="0" w:color="000000"/>
              <w:bottom w:val="single" w:sz="8" w:space="0" w:color="000000"/>
              <w:right w:val="single" w:sz="8" w:space="0" w:color="000000"/>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307"/>
        </w:trPr>
        <w:tc>
          <w:tcPr>
            <w:tcW w:w="1138"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01.005</w:t>
            </w:r>
          </w:p>
        </w:tc>
        <w:tc>
          <w:tcPr>
            <w:tcW w:w="9102" w:type="dxa"/>
            <w:gridSpan w:val="7"/>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СПЕЦИАЛИСТ В ОБЛАСТИ ВОСПИТАНИЯ</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125"/>
        </w:trPr>
        <w:tc>
          <w:tcPr>
            <w:tcW w:w="10240" w:type="dxa"/>
            <w:gridSpan w:val="10"/>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8"/>
                <w:szCs w:val="8"/>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8"/>
                <w:szCs w:val="8"/>
              </w:rPr>
            </w:pPr>
          </w:p>
        </w:tc>
      </w:tr>
      <w:tr w:rsidR="00AF5D70">
        <w:trPr>
          <w:trHeight w:hRule="exact" w:val="280"/>
        </w:trPr>
        <w:tc>
          <w:tcPr>
            <w:tcW w:w="5120"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Типы задач профессиональной деятельности:</w:t>
            </w:r>
          </w:p>
        </w:tc>
        <w:tc>
          <w:tcPr>
            <w:tcW w:w="5120" w:type="dxa"/>
            <w:gridSpan w:val="3"/>
            <w:vMerge w:val="restart"/>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педагогический, методический, сопровождения</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309"/>
        </w:trPr>
        <w:tc>
          <w:tcPr>
            <w:tcW w:w="5120" w:type="dxa"/>
            <w:gridSpan w:val="7"/>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120" w:type="dxa"/>
            <w:gridSpan w:val="3"/>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2433"/>
        </w:trPr>
        <w:tc>
          <w:tcPr>
            <w:tcW w:w="5120" w:type="dxa"/>
            <w:gridSpan w:val="7"/>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120" w:type="dxa"/>
            <w:gridSpan w:val="3"/>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280"/>
        </w:trPr>
        <w:tc>
          <w:tcPr>
            <w:tcW w:w="142" w:type="dxa"/>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0098" w:type="dxa"/>
            <w:gridSpan w:val="9"/>
            <w:vMerge w:val="restart"/>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обучающихся:</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18"/>
                <w:szCs w:val="18"/>
              </w:rPr>
            </w:pPr>
          </w:p>
        </w:tc>
      </w:tr>
      <w:tr w:rsidR="00AF5D70">
        <w:trPr>
          <w:trHeight w:hRule="exact" w:val="140"/>
        </w:trPr>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0098" w:type="dxa"/>
            <w:gridSpan w:val="9"/>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1678"/>
        </w:trPr>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0098" w:type="dxa"/>
            <w:gridSpan w:val="9"/>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очной формы обучения 2021 года набора</w:t>
            </w:r>
            <w:r>
              <w:rPr>
                <w:rFonts w:ascii="Times New Roman" w:hAnsi="Times New Roman" w:cs="Times New Roman"/>
                <w:color w:val="000000"/>
                <w:sz w:val="24"/>
                <w:szCs w:val="24"/>
              </w:rPr>
              <w:br/>
            </w:r>
            <w:r>
              <w:rPr>
                <w:rFonts w:ascii="Times New Roman" w:hAnsi="Times New Roman" w:cs="Times New Roman"/>
                <w:color w:val="000000"/>
                <w:sz w:val="24"/>
                <w:szCs w:val="24"/>
              </w:rPr>
              <w:br/>
              <w:t>на 2021-2022 учебный год</w:t>
            </w:r>
            <w:r>
              <w:rPr>
                <w:rFonts w:ascii="Times New Roman" w:hAnsi="Times New Roman" w:cs="Times New Roman"/>
                <w:color w:val="000000"/>
                <w:sz w:val="24"/>
                <w:szCs w:val="24"/>
              </w:rPr>
              <w:br/>
            </w:r>
            <w:r>
              <w:rPr>
                <w:rFonts w:ascii="Times New Roman" w:hAnsi="Times New Roman" w:cs="Times New Roman"/>
                <w:color w:val="000000"/>
                <w:sz w:val="24"/>
                <w:szCs w:val="24"/>
              </w:rPr>
              <w:br/>
              <w:t>Омск, 2021</w:t>
            </w:r>
          </w:p>
        </w:tc>
        <w:tc>
          <w:tcPr>
            <w:tcW w:w="569" w:type="dxa"/>
            <w:vMerge/>
            <w:tcBorders>
              <w:top w:val="nil"/>
              <w:left w:val="nil"/>
              <w:bottom w:val="nil"/>
              <w:right w:val="nil"/>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9"/>
      </w:tblGrid>
      <w:tr w:rsidR="00AF5D70">
        <w:trPr>
          <w:trHeight w:hRule="exact" w:val="2238"/>
        </w:trPr>
        <w:tc>
          <w:tcPr>
            <w:tcW w:w="10809"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Составитель:</w:t>
            </w:r>
            <w:r>
              <w:rPr>
                <w:rFonts w:ascii="Times New Roman" w:hAnsi="Times New Roman" w:cs="Times New Roman"/>
                <w:color w:val="000000"/>
                <w:sz w:val="24"/>
                <w:szCs w:val="24"/>
              </w:rPr>
              <w:br/>
            </w:r>
            <w:r>
              <w:rPr>
                <w:rFonts w:ascii="Times New Roman" w:hAnsi="Times New Roman" w:cs="Times New Roman"/>
                <w:color w:val="000000"/>
                <w:sz w:val="24"/>
                <w:szCs w:val="24"/>
              </w:rPr>
              <w:br/>
              <w:t>к.пед.н., доцент _________________ /Котлярова Т.С./</w:t>
            </w:r>
            <w:r>
              <w:rPr>
                <w:rFonts w:ascii="Times New Roman" w:hAnsi="Times New Roman" w:cs="Times New Roman"/>
                <w:color w:val="000000"/>
                <w:sz w:val="24"/>
                <w:szCs w:val="24"/>
              </w:rPr>
              <w:br/>
            </w:r>
            <w:r>
              <w:rPr>
                <w:rFonts w:ascii="Times New Roman" w:hAnsi="Times New Roman" w:cs="Times New Roman"/>
                <w:color w:val="000000"/>
                <w:sz w:val="24"/>
                <w:szCs w:val="24"/>
              </w:rPr>
              <w:br/>
              <w:t>Рабочая программа дисциплины одобрена на заседании кафедры «Педагогики, психологии и социальной работы»</w:t>
            </w:r>
            <w:r>
              <w:rPr>
                <w:rFonts w:ascii="Times New Roman" w:hAnsi="Times New Roman" w:cs="Times New Roman"/>
                <w:color w:val="000000"/>
                <w:sz w:val="24"/>
                <w:szCs w:val="24"/>
              </w:rPr>
              <w:br/>
              <w:t>Протокол от 30.08.2021 г.  №1</w:t>
            </w:r>
          </w:p>
        </w:tc>
      </w:tr>
      <w:tr w:rsidR="00AF5D70">
        <w:trPr>
          <w:trHeight w:hRule="exact" w:val="280"/>
        </w:trPr>
        <w:tc>
          <w:tcPr>
            <w:tcW w:w="10809"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Зав. кафедрой, доцент, д.п.н. _________________ /Лопанова Е.В./</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9671"/>
        <w:gridCol w:w="142"/>
      </w:tblGrid>
      <w:tr w:rsidR="00AF5D70">
        <w:trPr>
          <w:trHeight w:hRule="exact" w:val="140"/>
        </w:trPr>
        <w:tc>
          <w:tcPr>
            <w:tcW w:w="10809" w:type="dxa"/>
            <w:gridSpan w:val="3"/>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280"/>
        </w:trPr>
        <w:tc>
          <w:tcPr>
            <w:tcW w:w="996" w:type="dxa"/>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tc>
        <w:tc>
          <w:tcPr>
            <w:tcW w:w="142" w:type="dxa"/>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55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881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3     Указание места дисциплины в структуре образовательной программы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6     Перечень учебно-методического обеспечения для самостоятельной работы обучающихся по дисциплине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7     Перечень основной и дополнительной учебной литературы, необходимой для освоения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8     Перечень ресурсов информационно-телекоммуникационной сети «Интернет», необходимых для освоения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9     Методические указания для обучающихся по освоению дисциплины</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11   Описание материально-технической базы, необходимой для осуществления образовательного процесса по дисциплине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br/>
              <w:t>12   Фонд оценочных средств (Приложения 1-5)</w:t>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val="restart"/>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Рабочая программа дисциплины составлена в соответствии с:</w:t>
            </w:r>
          </w:p>
        </w:tc>
      </w:tr>
      <w:tr w:rsidR="00AF5D70">
        <w:trPr>
          <w:trHeight w:hRule="exact" w:val="1521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r>
              <w:rPr>
                <w:rFonts w:ascii="Times New Roman" w:hAnsi="Times New Roman" w:cs="Times New Roman"/>
                <w:color w:val="000000"/>
                <w:sz w:val="24"/>
                <w:szCs w:val="24"/>
              </w:rPr>
              <w:br/>
              <w:t xml:space="preserve">-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 </w:t>
            </w:r>
            <w:r>
              <w:rPr>
                <w:rFonts w:ascii="Times New Roman" w:hAnsi="Times New Roman" w:cs="Times New Roman"/>
                <w:color w:val="000000"/>
                <w:sz w:val="24"/>
                <w:szCs w:val="24"/>
              </w:rPr>
              <w:b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r>
              <w:rPr>
                <w:rFonts w:ascii="Times New Roman" w:hAnsi="Times New Roman" w:cs="Times New Roman"/>
                <w:color w:val="000000"/>
                <w:sz w:val="24"/>
                <w:szCs w:val="24"/>
              </w:rPr>
              <w:b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r>
              <w:rPr>
                <w:rFonts w:ascii="Times New Roman" w:hAnsi="Times New Roman" w:cs="Times New Roman"/>
                <w:color w:val="000000"/>
                <w:sz w:val="24"/>
                <w:szCs w:val="24"/>
              </w:rPr>
              <w:b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r>
              <w:rPr>
                <w:rFonts w:ascii="Times New Roman" w:hAnsi="Times New Roman" w:cs="Times New Roman"/>
                <w:color w:val="000000"/>
                <w:sz w:val="24"/>
                <w:szCs w:val="24"/>
              </w:rPr>
              <w:b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r>
              <w:rPr>
                <w:rFonts w:ascii="Times New Roman" w:hAnsi="Times New Roman" w:cs="Times New Roman"/>
                <w:color w:val="000000"/>
                <w:sz w:val="24"/>
                <w:szCs w:val="24"/>
              </w:rPr>
              <w:b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2021/2022 учебный год, утвержденным приказом ректора от 30.08.2021 №94;</w:t>
            </w:r>
            <w:r>
              <w:rPr>
                <w:rFonts w:ascii="Times New Roman" w:hAnsi="Times New Roman" w:cs="Times New Roman"/>
                <w:color w:val="000000"/>
                <w:sz w:val="24"/>
                <w:szCs w:val="24"/>
              </w:rPr>
              <w:br/>
              <w:t>Возможность внесения изменений и дополнений в разработанную Академией образовательную программу в части рабочей программы дисциплины «Нарушения чтения и письма» в течение 2021/2022 учебного года:</w:t>
            </w:r>
            <w:r>
              <w:rPr>
                <w:rFonts w:ascii="Times New Roman" w:hAnsi="Times New Roman" w:cs="Times New Roman"/>
                <w:color w:val="000000"/>
                <w:sz w:val="24"/>
                <w:szCs w:val="24"/>
              </w:rPr>
              <w:b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процесса.</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1. Наименование дисциплины: К.М.04.05 «Нарушения чтения и письма».</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355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Процесс изучения дисциплины «Нарушения чтения и письма» направлен на формирование у обучающегося компетенций и запланированных результатов обучения, соотнесенных с индикаторами достижения компетенций:  </w:t>
            </w: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ОПК-6</w:t>
            </w:r>
            <w:r>
              <w:rPr>
                <w:rFonts w:ascii="Times New Roman" w:hAnsi="Times New Roman" w:cs="Times New Roman"/>
                <w:b/>
                <w:bCs/>
                <w:color w:val="000000"/>
                <w:sz w:val="24"/>
                <w:szCs w:val="24"/>
              </w:rPr>
              <w:b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ОПК-6.1 знать закономерности  развития  личности, периодизацию и кризисы развития ребенка в онтогенезе и при нарушениях речи; возрастные,  типологические,  гендерные  особенности развития обучающихся с нарушением речи</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ОПК-6.2 знать  методы изучения психического развития обучающихся;  психолого-педагогические  подходы,  обеспечивающие индивидуализацию обучения и воспитания обучающихся с нарушением речи</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ОПК-6.3 знать технологии  осуществления  коррекционно-развивающего процесса; требования  к  разработке  и  реализации  индивидуальных коррекционно-образовательных программ  </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ОПК-6.4 уметь использовать  знания  о  возрастных, типологических, индивидуальных, гендерных особенностях развития  обучающихся  для  планирования  учебно-воспитательной работы</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ОПК-6.5 уметь применять  образовательные  технологии  для индивидуализации обучения и воспитания обучающихся; применять  методы  и  технологии  осуществления коррекционно-развивающего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ОПК-6.6 уметь  использовать  индивидуальные  и  групповые  формы организации образовательного и коррекционно-развивающего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ОПК-6.7 уметь составлять  (совместно  с  психологом  и  другими специалистами)  психолого-педагогическую  характеристику (портрет) личности обучающегося</w:t>
            </w: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ОПК-6.8 владеть методами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нарушением речи</w:t>
            </w:r>
          </w:p>
        </w:tc>
      </w:tr>
      <w:tr w:rsidR="00AF5D70">
        <w:trPr>
          <w:trHeight w:hRule="exact" w:val="140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ОПК-6.9 владеть методами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  с  нарушением речи</w:t>
            </w:r>
          </w:p>
        </w:tc>
      </w:tr>
      <w:tr w:rsidR="00AF5D70">
        <w:trPr>
          <w:trHeight w:hRule="exact" w:val="49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ОПК-6.10 владеть навыками  использования  образовательных  технологий  в </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профессиональной  деятельности  для  осуществления индивидуализации  обучения,  развития,  воспитания обучающихся с нарушением речи</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ПК-2</w:t>
            </w:r>
            <w:r>
              <w:rPr>
                <w:rFonts w:ascii="Times New Roman" w:hAnsi="Times New Roman" w:cs="Times New Roman"/>
                <w:b/>
                <w:bCs/>
                <w:color w:val="000000"/>
                <w:sz w:val="24"/>
                <w:szCs w:val="24"/>
              </w:rPr>
              <w:br/>
              <w:t>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ПК-2.1 знать особенности психофизического и возрастного развития, особые образовательные потребности разных групп обучающихся с нарушением речи </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ПК-2.2 знать теорию и практику реализации дифференцированного подхода в образовании обучающихся с нарушением речи</w:t>
            </w: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ПК-2.3 знать требования к содержанию и организации коррекционно-развивающего процесса, ориентированного на обучающихся с нарушением речи;</w:t>
            </w:r>
            <w:r>
              <w:rPr>
                <w:rFonts w:ascii="Times New Roman" w:hAnsi="Times New Roman" w:cs="Times New Roman"/>
                <w:color w:val="000000"/>
                <w:sz w:val="24"/>
                <w:szCs w:val="24"/>
              </w:rPr>
              <w:br/>
              <w:t>современные методики и технологии, используемые в коррекционно-развивающем процессе</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ПК-2.4 уметь обеспечивать условия реализации дифференцированного подхода в коррекционно-развивающем процессе с участием обучающихся с нарушением речи</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нарушением речи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ПК-2.6 уметь применять разные формы и способы реализации дифференцированного подхода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ПК-2.7 владеть методами создания условий реализации дифференцированного подхода в коррекционно-развивающем процессе с участием обучающихся с нарушением речи</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ПК-2.8 владеть  методами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нарушением речи</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ПК-3</w:t>
            </w:r>
            <w:r>
              <w:rPr>
                <w:rFonts w:ascii="Times New Roman" w:hAnsi="Times New Roman" w:cs="Times New Roman"/>
                <w:b/>
                <w:bCs/>
                <w:color w:val="000000"/>
                <w:sz w:val="24"/>
                <w:szCs w:val="24"/>
              </w:rPr>
              <w:br/>
              <w:t>Способен осуществлять мониторинг эффективности учебно-воспитательного и коррекционо-развивающего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ПК-3.1 знать принципы,  методы, организацию  мониторинга  эффективности учебно-воспитательного, коррекционно-развивающего  процесса в разных  институциональных условиях</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ПК-3.2 уметь применять  разные  методы мониторинга  эффективности  учебно-воспитательного,  коррекционо-развивающего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ПК-3.3 уметь  оформлять  и  интерпретировать  результаты мониторинга  эффективности  учебно-воспитательного,  коррекционо-развивающего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ПК-3.4 уметь использовать выводы по результатам мониторинга  для  корректировки  содержания  и организации  коррекционо-развивающего процесса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ПК-3.5 владеть методами проведения мониторинга  эффективности  учебно-воспитательного,  коррекционо-развивающего  процесса и интерпретации его результатов</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ПК-4</w:t>
            </w:r>
            <w:r>
              <w:rPr>
                <w:rFonts w:ascii="Times New Roman" w:hAnsi="Times New Roman" w:cs="Times New Roman"/>
                <w:b/>
                <w:bCs/>
                <w:color w:val="000000"/>
                <w:sz w:val="24"/>
                <w:szCs w:val="24"/>
              </w:rPr>
              <w:br/>
              <w:t>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ПК-4.1 знать содержание и требования к проведению логопедического обследования обучающихся</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ПК-4.4 уметь разрабатывать программу логопедического обследования, определять показатели развития ребенка, отбирать и/или разрабатывать инструментарий </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40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ПК-5</w:t>
            </w:r>
            <w:r>
              <w:rPr>
                <w:rFonts w:ascii="Times New Roman" w:hAnsi="Times New Roman" w:cs="Times New Roman"/>
                <w:b/>
                <w:bCs/>
                <w:color w:val="000000"/>
                <w:sz w:val="24"/>
                <w:szCs w:val="24"/>
              </w:rPr>
              <w:br/>
              <w:t>Способен</w:t>
            </w:r>
            <w:r>
              <w:rPr>
                <w:rFonts w:ascii="Times New Roman" w:hAnsi="Times New Roman" w:cs="Times New Roman"/>
                <w:b/>
                <w:bCs/>
                <w:color w:val="000000"/>
                <w:sz w:val="24"/>
                <w:szCs w:val="24"/>
              </w:rPr>
              <w:tab/>
              <w:t>проводить профилактические мероприятия, коррекционную и консультативно-просветительскую работу с обучающимися с нарушениями речи, их родителями (законными</w:t>
            </w:r>
            <w:r>
              <w:rPr>
                <w:rFonts w:ascii="Times New Roman" w:hAnsi="Times New Roman" w:cs="Times New Roman"/>
                <w:b/>
                <w:bCs/>
                <w:color w:val="000000"/>
                <w:sz w:val="24"/>
                <w:szCs w:val="24"/>
              </w:rPr>
              <w:tab/>
              <w:t>представителями) или членами семей, участниками психолого-педагоги-ческого консилиума</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ПК-5.1 знать содержание, формы, методы и технологии коррекционной работы с обучающимися с нарушениями речи; основы профилактики нарушений речи у обучающихся, способы проведения профилактических мероприятий</w:t>
            </w: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ПК-5.2 знать способы, формы и методы консультативно-просветительской работы с участниками образовательных отношений (обучающимися с нарушениями речи, их родителями (законными представителями) или членами семей, участниками психолого-педагогического консилиума)</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ПК-5.3 уметь отбирать и применять содержание, формы, методы и технологии коррекционной работы с обучающимися с нарушениями речи с учетом особенностей их развития</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ПК-5.4 уметь  отбирать и применять способы, формы и методы консультативно-просветительской работы с участниками образовательных отношений</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ПК-5.5 владеть методами проведения коррекционной работы с обучающимися с нарушениями речи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ПК-5.6 владеть навыками проведения профилактических мероприятий с обучающимися с нарушениями речи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ПК-5.7 владеть навыками организации консультативно-просветительской работы с участниками образовательных отношений</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компетенции: ПК-6</w:t>
            </w:r>
            <w:r>
              <w:rPr>
                <w:rFonts w:ascii="Times New Roman" w:hAnsi="Times New Roman" w:cs="Times New Roman"/>
                <w:b/>
                <w:bCs/>
                <w:color w:val="000000"/>
                <w:sz w:val="24"/>
                <w:szCs w:val="24"/>
              </w:rPr>
              <w:br/>
              <w:t>Способен участвовать в создании безопасной и</w:t>
            </w:r>
            <w:r>
              <w:rPr>
                <w:rFonts w:ascii="Times New Roman" w:hAnsi="Times New Roman" w:cs="Times New Roman"/>
                <w:b/>
                <w:bCs/>
                <w:color w:val="000000"/>
                <w:sz w:val="24"/>
                <w:szCs w:val="24"/>
              </w:rPr>
              <w:tab/>
              <w:t>комфортной образовательной среды,</w:t>
            </w:r>
            <w:r>
              <w:rPr>
                <w:rFonts w:ascii="Times New Roman" w:hAnsi="Times New Roman" w:cs="Times New Roman"/>
                <w:b/>
                <w:bCs/>
                <w:color w:val="000000"/>
                <w:sz w:val="24"/>
                <w:szCs w:val="24"/>
              </w:rPr>
              <w:tab/>
              <w:t>совершенствовании предметно-пространственной среды, обеспечивающей освоение обучающимися адаптированной основной образовательной программы</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t xml:space="preserve">Индикаторы достижения компетенции: </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ПК-6.1 знать компоненты безопасной и комфортной образовательной  среды, их дидактический и  коррекционно-развивающий потенциал</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ПК-6.2 знать принципы,  условия  и  требования  к организации  образовательной среды  для школьников с умственной отсталостью, способы оценки ее комфортности и безопасности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ПК-6.3 уметь участвовать  в  создании компонентов безопасной и комфортной образовательной  среды</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ПК-6.4 уметь  проводить  мероприятия по  формированию  у  обучающихся  с умственной отсталостью навыков общения в среде сверстников, развитию навыков поведения в  виртуальной среде</w:t>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ПК-6.5 владеть методами создания элементов образовательной среды с учетом возможностей школьников с нарушением речи; способами оценки комфортности, доступности и безопасности образовательной среды</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3982"/>
        <w:gridCol w:w="1707"/>
        <w:gridCol w:w="1706"/>
        <w:gridCol w:w="427"/>
        <w:gridCol w:w="711"/>
        <w:gridCol w:w="142"/>
        <w:gridCol w:w="996"/>
      </w:tblGrid>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3. Указание места дисциплины в структуре образовательной программы</w:t>
            </w:r>
          </w:p>
        </w:tc>
      </w:tr>
      <w:tr w:rsidR="00AF5D70">
        <w:trPr>
          <w:trHeight w:hRule="exact" w:val="137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br/>
              <w:t>Дисциплина К.М.04.05 «Нарушения чтения и письма» относится к обязательной части, является дисциплиной Блока Б1. «Дисциплины (модули)». Модуль "Логопедия"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867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Содержательно-логические связи</w:t>
            </w:r>
          </w:p>
        </w:tc>
        <w:tc>
          <w:tcPr>
            <w:tcW w:w="99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Коды </w:t>
            </w:r>
            <w:r>
              <w:rPr>
                <w:rFonts w:ascii="Times New Roman" w:hAnsi="Times New Roman" w:cs="Times New Roman"/>
                <w:color w:val="000000"/>
                <w:sz w:val="24"/>
                <w:szCs w:val="24"/>
              </w:rPr>
              <w:br/>
              <w:t>форми-</w:t>
            </w:r>
            <w:r>
              <w:rPr>
                <w:rFonts w:ascii="Times New Roman" w:hAnsi="Times New Roman" w:cs="Times New Roman"/>
                <w:color w:val="000000"/>
                <w:sz w:val="24"/>
                <w:szCs w:val="24"/>
              </w:rPr>
              <w:br/>
              <w:t xml:space="preserve">руемых </w:t>
            </w:r>
            <w:r>
              <w:rPr>
                <w:rFonts w:ascii="Times New Roman" w:hAnsi="Times New Roman" w:cs="Times New Roman"/>
                <w:color w:val="000000"/>
                <w:sz w:val="24"/>
                <w:szCs w:val="24"/>
              </w:rPr>
              <w:br/>
              <w:t>компе-</w:t>
            </w:r>
            <w:r>
              <w:rPr>
                <w:rFonts w:ascii="Times New Roman" w:hAnsi="Times New Roman" w:cs="Times New Roman"/>
                <w:color w:val="000000"/>
                <w:sz w:val="24"/>
                <w:szCs w:val="24"/>
              </w:rPr>
              <w:br/>
              <w:t>тенций</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8675"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дисциплин, практик</w:t>
            </w:r>
          </w:p>
        </w:tc>
        <w:tc>
          <w:tcPr>
            <w:tcW w:w="996" w:type="dxa"/>
            <w:vMerge/>
            <w:tcBorders>
              <w:top w:val="single" w:sz="8" w:space="0" w:color="000000"/>
              <w:left w:val="single" w:sz="8" w:space="0" w:color="000000"/>
              <w:bottom w:val="single" w:sz="8" w:space="0" w:color="000000"/>
              <w:right w:val="single" w:sz="8" w:space="0" w:color="000000"/>
            </w:tcBorders>
          </w:tcPr>
          <w:p w:rsidR="00AF5D70" w:rsidRDefault="00AF5D70">
            <w:pPr>
              <w:widowControl w:val="0"/>
              <w:autoSpaceDE w:val="0"/>
              <w:autoSpaceDN w:val="0"/>
              <w:adjustRightInd w:val="0"/>
              <w:spacing w:after="0" w:line="240" w:lineRule="auto"/>
              <w:jc w:val="center"/>
              <w:rPr>
                <w:rFonts w:ascii="Tahoma" w:hAnsi="Tahoma" w:cs="Tahoma"/>
                <w:sz w:val="18"/>
                <w:szCs w:val="18"/>
              </w:rPr>
            </w:pPr>
          </w:p>
        </w:tc>
      </w:tr>
      <w:tr w:rsidR="00AF5D70">
        <w:trPr>
          <w:trHeight w:hRule="exact" w:val="83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996" w:type="dxa"/>
            <w:vMerge/>
            <w:tcBorders>
              <w:top w:val="single" w:sz="8" w:space="0" w:color="000000"/>
              <w:left w:val="single" w:sz="8" w:space="0" w:color="000000"/>
              <w:bottom w:val="single" w:sz="8" w:space="0" w:color="000000"/>
              <w:right w:val="single" w:sz="8" w:space="0" w:color="000000"/>
            </w:tcBorders>
          </w:tcPr>
          <w:p w:rsidR="00AF5D70" w:rsidRDefault="00AF5D70">
            <w:pPr>
              <w:widowControl w:val="0"/>
              <w:autoSpaceDE w:val="0"/>
              <w:autoSpaceDN w:val="0"/>
              <w:adjustRightInd w:val="0"/>
              <w:spacing w:after="0" w:line="240" w:lineRule="auto"/>
              <w:jc w:val="center"/>
              <w:rPr>
                <w:rFonts w:ascii="Tahoma" w:hAnsi="Tahoma" w:cs="Tahoma"/>
                <w:sz w:val="20"/>
                <w:szCs w:val="20"/>
              </w:rPr>
            </w:pPr>
          </w:p>
        </w:tc>
      </w:tr>
      <w:tr w:rsidR="00AF5D70">
        <w:trPr>
          <w:trHeight w:hRule="exact" w:val="1708"/>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39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47" w:lineRule="exact"/>
              <w:ind w:left="30" w:right="30"/>
              <w:jc w:val="center"/>
              <w:rPr>
                <w:rFonts w:ascii="Times New Roman" w:hAnsi="Times New Roman" w:cs="Times New Roman"/>
                <w:color w:val="000000"/>
              </w:rPr>
            </w:pPr>
            <w:r>
              <w:rPr>
                <w:rFonts w:ascii="Times New Roman" w:hAnsi="Times New Roman" w:cs="Times New Roman"/>
                <w:color w:val="000000"/>
              </w:rPr>
              <w:t>Логопедическая ритмика</w:t>
            </w:r>
          </w:p>
        </w:tc>
        <w:tc>
          <w:tcPr>
            <w:tcW w:w="469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47" w:lineRule="exact"/>
              <w:ind w:left="30" w:right="30"/>
              <w:jc w:val="center"/>
              <w:rPr>
                <w:rFonts w:ascii="Times New Roman" w:hAnsi="Times New Roman" w:cs="Times New Roman"/>
                <w:color w:val="000000"/>
              </w:rPr>
            </w:pPr>
            <w:r>
              <w:rPr>
                <w:rFonts w:ascii="Times New Roman" w:hAnsi="Times New Roman" w:cs="Times New Roman"/>
                <w:color w:val="000000"/>
              </w:rPr>
              <w:t>Организация учебно-исследовательской</w:t>
            </w:r>
            <w:r>
              <w:rPr>
                <w:rFonts w:ascii="Times New Roman" w:hAnsi="Times New Roman" w:cs="Times New Roman"/>
                <w:color w:val="000000"/>
              </w:rPr>
              <w:br/>
              <w:t>работы в области логопедии</w:t>
            </w:r>
            <w:r>
              <w:rPr>
                <w:rFonts w:ascii="Times New Roman" w:hAnsi="Times New Roman" w:cs="Times New Roman"/>
                <w:color w:val="000000"/>
              </w:rPr>
              <w:br/>
              <w:t>Педагогическая техника в воспитании детей с нарушениями речи</w:t>
            </w:r>
            <w:r>
              <w:rPr>
                <w:rFonts w:ascii="Times New Roman" w:hAnsi="Times New Roman" w:cs="Times New Roman"/>
                <w:color w:val="000000"/>
              </w:rPr>
              <w:br/>
              <w:t>Решение профессиональных задач учителя - логопеда</w:t>
            </w: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ОПК-6, ПК-2, ПК-3, ПК-5, ПК-6, ПК-4</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113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r>
              <w:rPr>
                <w:rFonts w:ascii="Times New Roman" w:hAnsi="Times New Roman" w:cs="Times New Roman"/>
                <w:color w:val="000000"/>
                <w:sz w:val="24"/>
                <w:szCs w:val="24"/>
              </w:rPr>
              <w:br/>
              <w:t>Из них:</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Контактная работа</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Лекций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Лабораторных работ</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Практических занятий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Семинарских занятий</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 обучающихся</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Контроль</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F5D70">
        <w:trPr>
          <w:trHeight w:hRule="exact" w:val="42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7822" w:type="dxa"/>
            <w:gridSpan w:val="4"/>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Формы промежуточной аттестации</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before="15" w:after="15"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экзамены 7</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1678"/>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5.1. Тематический план</w:t>
            </w:r>
          </w:p>
        </w:tc>
      </w:tr>
      <w:tr w:rsidR="00AF5D70">
        <w:trPr>
          <w:trHeight w:hRule="exact" w:val="42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7"/>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0"/>
                <w:szCs w:val="20"/>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раздела дисциплины</w:t>
            </w:r>
          </w:p>
        </w:tc>
        <w:tc>
          <w:tcPr>
            <w:tcW w:w="1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занятия</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Семестр </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Часов</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D3D3D3"/>
          </w:tcPr>
          <w:p w:rsidR="00AF5D70" w:rsidRDefault="00AF5D70">
            <w:pPr>
              <w:widowControl w:val="0"/>
              <w:autoSpaceDE w:val="0"/>
              <w:autoSpaceDN w:val="0"/>
              <w:adjustRightInd w:val="0"/>
              <w:spacing w:after="0" w:line="240" w:lineRule="auto"/>
              <w:rPr>
                <w:rFonts w:ascii="Times New Roman" w:hAnsi="Times New Roman" w:cs="Times New Roman"/>
                <w:sz w:val="18"/>
                <w:szCs w:val="18"/>
              </w:rPr>
            </w:pPr>
          </w:p>
        </w:tc>
        <w:tc>
          <w:tcPr>
            <w:tcW w:w="1706" w:type="dxa"/>
            <w:tcBorders>
              <w:top w:val="single" w:sz="8" w:space="0" w:color="000000"/>
              <w:left w:val="single" w:sz="8" w:space="0" w:color="000000"/>
              <w:bottom w:val="single" w:sz="8" w:space="0" w:color="000000"/>
              <w:right w:val="single" w:sz="8" w:space="0" w:color="000000"/>
            </w:tcBorders>
            <w:shd w:val="clear" w:color="auto" w:fill="D3D3D3"/>
          </w:tcPr>
          <w:p w:rsidR="00AF5D70" w:rsidRDefault="00AF5D70">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F5D70" w:rsidRDefault="00AF5D70">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D3D3D3"/>
          </w:tcPr>
          <w:p w:rsidR="00AF5D70" w:rsidRDefault="00AF5D70">
            <w:pPr>
              <w:widowControl w:val="0"/>
              <w:autoSpaceDE w:val="0"/>
              <w:autoSpaceDN w:val="0"/>
              <w:adjustRightInd w:val="0"/>
              <w:spacing w:after="0" w:line="240" w:lineRule="auto"/>
              <w:jc w:val="center"/>
              <w:rPr>
                <w:rFonts w:ascii="Times New Roman" w:hAnsi="Times New Roman" w:cs="Times New Roman"/>
                <w:sz w:val="18"/>
                <w:szCs w:val="18"/>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Введение в проблему нарушений письма и чтения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Дисграфия: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Дислексия: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Дизорфография как специфическое нарушение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Методика изучения нарушений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gridSpan w:val="2"/>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5689"/>
        <w:gridCol w:w="1706"/>
        <w:gridCol w:w="1138"/>
        <w:gridCol w:w="1138"/>
      </w:tblGrid>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Коррекционно-педагогическая работа при нарушениях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Дисграфия: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Дислексия: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Лек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Введение в проблему нарушений письма и чтения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Дисграфия: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Дислексия: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Дизорфография как специфическое нарушение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Методика изучения нарушений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Коррекционно-педагогическая работа при нарушениях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Дисграфия: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Дислексия: этиология, классификация, симптоматика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Дизорфография как специфическое нарушение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Методика изучения нарушений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Коррекционно-педагогическая работа при нарушениях письменной речи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AF5D70">
            <w:pPr>
              <w:widowControl w:val="0"/>
              <w:autoSpaceDE w:val="0"/>
              <w:autoSpaceDN w:val="0"/>
              <w:adjustRightInd w:val="0"/>
              <w:spacing w:after="0" w:line="240" w:lineRule="auto"/>
              <w:rPr>
                <w:rFonts w:ascii="Times New Roman" w:hAnsi="Times New Roman" w:cs="Times New Roman"/>
                <w:sz w:val="20"/>
                <w:szCs w:val="20"/>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Эк</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AF5D70">
            <w:pPr>
              <w:widowControl w:val="0"/>
              <w:autoSpaceDE w:val="0"/>
              <w:autoSpaceDN w:val="0"/>
              <w:adjustRightInd w:val="0"/>
              <w:spacing w:after="0" w:line="240" w:lineRule="auto"/>
              <w:rPr>
                <w:rFonts w:ascii="Times New Roman" w:hAnsi="Times New Roman" w:cs="Times New Roman"/>
                <w:sz w:val="20"/>
                <w:szCs w:val="20"/>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5689"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AF5D70">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AF5D70">
            <w:pPr>
              <w:widowControl w:val="0"/>
              <w:autoSpaceDE w:val="0"/>
              <w:autoSpaceDN w:val="0"/>
              <w:adjustRightInd w:val="0"/>
              <w:spacing w:after="0" w:line="240" w:lineRule="auto"/>
              <w:jc w:val="center"/>
              <w:rPr>
                <w:rFonts w:ascii="Times New Roman" w:hAnsi="Times New Roman" w:cs="Times New Roman"/>
                <w:sz w:val="18"/>
                <w:szCs w:val="18"/>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r>
      <w:tr w:rsidR="00AF5D70">
        <w:trPr>
          <w:trHeight w:hRule="exact" w:val="7204"/>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4"/>
            <w:tcBorders>
              <w:top w:val="nil"/>
              <w:left w:val="nil"/>
              <w:bottom w:val="nil"/>
              <w:right w:val="nil"/>
            </w:tcBorders>
            <w:shd w:val="clear" w:color="auto" w:fill="FFFFFF"/>
          </w:tcPr>
          <w:p w:rsidR="00AF5D70" w:rsidRDefault="00852EBF">
            <w:pPr>
              <w:widowControl w:val="0"/>
              <w:autoSpaceDE w:val="0"/>
              <w:autoSpaceDN w:val="0"/>
              <w:adjustRightInd w:val="0"/>
              <w:spacing w:after="0" w:line="232" w:lineRule="exact"/>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br/>
              <w:t>* Примечания:</w:t>
            </w:r>
            <w:r>
              <w:rPr>
                <w:rFonts w:ascii="Times New Roman" w:hAnsi="Times New Roman" w:cs="Times New Roman"/>
                <w:color w:val="000000"/>
                <w:sz w:val="20"/>
                <w:szCs w:val="20"/>
              </w:rPr>
              <w:b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r>
              <w:rPr>
                <w:rFonts w:ascii="Times New Roman" w:hAnsi="Times New Roman" w:cs="Times New Roman"/>
                <w:color w:val="000000"/>
                <w:sz w:val="20"/>
                <w:szCs w:val="20"/>
              </w:rPr>
              <w:b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r>
              <w:rPr>
                <w:rFonts w:ascii="Times New Roman" w:hAnsi="Times New Roman" w:cs="Times New Roman"/>
                <w:color w:val="000000"/>
                <w:sz w:val="20"/>
                <w:szCs w:val="20"/>
              </w:rPr>
              <w:br/>
              <w:t>б) Для обучающихся с ограниченными возможностями здоровья и инвалидов:</w:t>
            </w:r>
            <w:r>
              <w:rPr>
                <w:rFonts w:ascii="Times New Roman" w:hAnsi="Times New Roman" w:cs="Times New Roman"/>
                <w:color w:val="000000"/>
                <w:sz w:val="20"/>
                <w:szCs w:val="20"/>
              </w:rPr>
              <w:b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109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32" w:lineRule="exact"/>
              <w:ind w:left="30" w:right="30"/>
              <w:jc w:val="both"/>
              <w:rPr>
                <w:rFonts w:ascii="Times New Roman" w:hAnsi="Times New Roman" w:cs="Times New Roman"/>
                <w:color w:val="000000"/>
                <w:sz w:val="20"/>
                <w:szCs w:val="20"/>
              </w:rPr>
            </w:pPr>
            <w:r>
              <w:rPr>
                <w:rFonts w:ascii="Times New Roman" w:hAnsi="Times New Roman" w:cs="Times New Roman"/>
                <w:color w:val="000000"/>
                <w:sz w:val="20"/>
                <w:szCs w:val="20"/>
              </w:rPr>
              <w:t>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r>
              <w:rPr>
                <w:rFonts w:ascii="Times New Roman" w:hAnsi="Times New Roman" w:cs="Times New Roman"/>
                <w:color w:val="000000"/>
                <w:sz w:val="20"/>
                <w:szCs w:val="20"/>
              </w:rPr>
              <w:b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Pr>
                <w:rFonts w:ascii="Times New Roman" w:hAnsi="Times New Roman" w:cs="Times New Roman"/>
                <w:color w:val="000000"/>
                <w:sz w:val="20"/>
                <w:szCs w:val="20"/>
              </w:rPr>
              <w:b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r>
              <w:rPr>
                <w:rFonts w:ascii="Times New Roman" w:hAnsi="Times New Roman" w:cs="Times New Roman"/>
                <w:color w:val="000000"/>
                <w:sz w:val="20"/>
                <w:szCs w:val="20"/>
              </w:rPr>
              <w:b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r>
              <w:rPr>
                <w:rFonts w:ascii="Times New Roman" w:hAnsi="Times New Roman" w:cs="Times New Roman"/>
                <w:color w:val="000000"/>
                <w:sz w:val="20"/>
                <w:szCs w:val="20"/>
              </w:rPr>
              <w:b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F5D70">
        <w:trPr>
          <w:trHeight w:hRule="exact" w:val="58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5.2 Содержание дисциплины</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Темы лекционных занятий </w:t>
            </w:r>
          </w:p>
        </w:tc>
      </w:tr>
      <w:tr w:rsidR="00AF5D70">
        <w:trPr>
          <w:trHeight w:hRule="exact" w:val="2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vMerge w:val="restart"/>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Введение в проблему нарушений письма и чтения</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r>
      <w:tr w:rsidR="00AF5D70">
        <w:trPr>
          <w:trHeight w:hRule="exact" w:val="246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Письменная речь как особая форма речи. Письмо и устная речь. Основные критерии дифференциации устной и письменной речи: время происхождения; способ формирования и протекания; особенности психологического содержания (контекстность устной речи; использование в ее процессе эмоционально-выразительных средств, особенности мотивации устной и письменной речи); функции. Этапы формирования письма: формирование письма как графомоторного навыка, формирование самостоятельной письменно-речевой деятельности. Навык письма как компонент письменной речи. Отличия навыка письма и письменной речи. Закономерности и этапы (аналитический, синтетический, этап автоматизации) формирования навыка письма.</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Дисграфия: этиология, классификация, симптоматика</w:t>
            </w:r>
          </w:p>
        </w:tc>
      </w:tr>
      <w:tr w:rsidR="00AF5D70">
        <w:trPr>
          <w:trHeight w:hRule="exact" w:val="642"/>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Понятие дисграфии и аграфии. Принципы русской орфографии. Психолого-педагогический подход к изучению нарушений письма у детей (Р.Е.Левина,</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137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О.А.Токарева, Р.И.Лалаева, И.Н.Садовникова, Г.В.Чиркина и др.). Нейропсихологический подход к анализу нарушений письма (Т.В.Ахутина, Л.С.Цветкова и др.). Этиология и патогенетические механизмы дисграфии. Классификации дисграфий. Симптоматика нарушений письма. Типология специфических ошибок: ошибки на уровне буквы и слога, на уровне слова, на уровне предложения (словосочетания) (И.Н.Садовникова).</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Дислексия: этиология, классификация, симптоматика</w:t>
            </w:r>
          </w:p>
        </w:tc>
      </w:tr>
      <w:tr w:rsidR="00AF5D70">
        <w:trPr>
          <w:trHeight w:hRule="exact" w:val="409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Чтение и читательская деятельность. Характеристика навыка чтения. Техническая и смысловая стороны навыка. Составляющие навыка чтения: способ, правильность, скорость, выразительность, понимание. Ступени овладения чтением (Т.Г.Егоров): овладение звуко-буквенными обозначениями; послоговое чтение; становление синтетических приемов чтения; синтетическое чтение. Этапы развития понимания письменного текста (Н.П.Локалова). Характеристика чтения как деятельности. Составляющие читательской деятельности: субъект, объект, процесс, результат. Индивидуально-психологические особенности субъекта читательской деятельности (психофизиологические, психические, языковые особенности, уровень знаний об окружающем мире). Зрительный текст как самостоятельная знаковая система (внешняя сторона текста: визуально воспринимаемые графические средства: структура предложений и текста; внутренняя сторона – смысл). Понимание как процесс и результат читательской деятельности. Теория смысловой обработки текста (И.А. Зимняя, А.А. Леонтьев, Т.М. Дридзе и др.). Многоуровневая организация понимания (предметно-денотативный, лингвистический и смысловой уровни).</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Дизорфография как специфическое нарушение письменной речи</w:t>
            </w:r>
          </w:p>
        </w:tc>
      </w:tr>
      <w:tr w:rsidR="00AF5D70">
        <w:trPr>
          <w:trHeight w:hRule="exact" w:val="137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Понятие дизорфографии. Определение понятий «орфография», «орфографический навык». Условия овладения орфографическим навыком. Дифференциация понятий «дисграфия» и «дизорфография». Этиология и патогенетические механизмы дизорфографии. Классификации дизорфографий. Симптоматика и типология специфических ошибок.</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 изучения нарушений письменной речи</w:t>
            </w:r>
          </w:p>
        </w:tc>
      </w:tr>
      <w:tr w:rsidR="00AF5D70">
        <w:trPr>
          <w:trHeight w:hRule="exact" w:val="382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Принципы обследования. Цели и задачи обследования. Организационные этапы диагностики нарушений письменной речи: изучение готовности к овладению навыками письма и чтения, изучение состояния и динамики формирования навыков письма и чтения на различных ступенях начального обучения в школе, изучение готовности к овладению самостоятельной письменно-речевой и читательской деятельности, диагностика состояния самостоятельной письменно-речевой и читательской деятельности. Направления, содержание и методы психолого-педагогического обследования на каждом организационном этапе. Направления: логопедическое, психологическое, нейропсихологическое. Содержание и методы логопедического обследования. Материалы логопедического обследования. Обследование звукового анализа и синтеза слов. Обследование звукового анализа и синтеза слов. Обследование письма. Обследование чтения (технической и смысловой сторон). Анализ результатов обследования. Методы исследования функциональных, устно-речевых и операциональных компонентов письменно-речевой деятельности.</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Коррекционно-педагогическая работа при нарушениях письменной речи</w:t>
            </w:r>
          </w:p>
        </w:tc>
      </w:tr>
      <w:tr w:rsidR="00AF5D70">
        <w:trPr>
          <w:trHeight w:hRule="exact" w:val="137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Устранение фонематической дислексии, артикуляторно-акустической дисграфии и дисграфии на основе нарушений фонемного распознавания. Устранение аграмматической дислексии и дисграфии. Устранение оптической дислексии и дисграфии. Устранение семантической дислексии. Коррекция нарушений письма на фонетическом, лексическом, синтаксическом уровнях (И.Н. Садовникова).</w:t>
            </w: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Дисграфия: этиология, классификация, симптоматика</w:t>
            </w:r>
          </w:p>
        </w:tc>
      </w:tr>
      <w:tr w:rsidR="00AF5D70">
        <w:trPr>
          <w:trHeight w:hRule="exact" w:val="1908"/>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Понятие дисграфии и аграфии. Принципы русской орфографии. Психолого-педагогический подход к изучению нарушений письма у детей (Р.Е.Левина, О.А.Токарева, Р.И.Лалаева, И.Н.Садовникова, Г.В.Чиркина и др.). Нейропсихологический подход к анализу нарушений письма (Т.В.Ахутина, Л.С.Цветкова и др.). Этиология и патогенетические механизмы дисграфии. Классификации дисграфий. Симптоматика нарушений письма. Типология специфических ошибок: ошибки на уровне буквы и слога, на уровне слова, на уровне предложения (словосочетания) (И.Н.Садовникова).</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9671"/>
      </w:tblGrid>
      <w:tr w:rsidR="00AF5D70">
        <w:trPr>
          <w:trHeight w:hRule="exact" w:val="13"/>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jc w:val="both"/>
              <w:rPr>
                <w:rFonts w:ascii="Times New Roman" w:hAnsi="Times New Roman" w:cs="Times New Roman"/>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Дислексия: этиология, классификация, симптоматика</w:t>
            </w:r>
          </w:p>
        </w:tc>
      </w:tr>
      <w:tr w:rsidR="00AF5D70">
        <w:trPr>
          <w:trHeight w:hRule="exact" w:val="409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t>Чтение и читательская деятельность. Характеристика навыка чтения. Техническая и смысловая стороны навыка. Составляющие навыка чтения: способ, правильность, скорость, выразительность, понимание. Ступени овладения чтением (Т.Г.Егоров): овладение звуко-буквенными обозначениями; послоговое чтение; становление синтетических приемов чтения; синтетическое чтение. Этапы развития понимания письменного текста (Н.П.Локалова). Характеристика чтения как деятельности. Составляющие читательской деятельности: субъект, объект, процесс, результат. Индивидуально-психологические особенности субъекта читательской деятельности (психофизиологические, психические, языковые особенности, уровень знаний об окружающем мире). Зрительный текст как самостоятельная знаковая система (внешняя сторона текста: визуально воспринимаемые графические средства: структура предложений и текста; внутренняя сторона – смысл). Понимание как процесс и результат читательской деятельности. Теория смысловой обработки текста (И.А. Зимняя, А.А. Леонтьев, Т.М. Дридзе и др.). Многоуровневая организация понимания (предметно-денотативный, лингвистический и смысловой уровни).</w:t>
            </w:r>
          </w:p>
        </w:tc>
      </w:tr>
      <w:tr w:rsidR="00AF5D70">
        <w:trPr>
          <w:trHeight w:hRule="exact" w:val="28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Темы практических занятий </w:t>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Введение в проблему нарушений письма и чтения</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Дисграфия: этиология, классификация, симптоматика</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Дислексия: этиология, классификация, симптоматика</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Дизорфография как специфическое нарушение письменной речи</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 изучения нарушений письменной речи</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15"/>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2"/>
                <w:szCs w:val="2"/>
              </w:rPr>
            </w:pPr>
          </w:p>
        </w:tc>
      </w:tr>
      <w:tr w:rsidR="00AF5D70">
        <w:trPr>
          <w:trHeight w:hRule="exact" w:val="30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Коррекционно-педагогическая работа при нарушениях письменной речи</w:t>
            </w:r>
          </w:p>
        </w:tc>
      </w:tr>
      <w:tr w:rsidR="00AF5D70">
        <w:trPr>
          <w:trHeight w:hRule="exact" w:val="28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9"/>
                <w:szCs w:val="19"/>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Pr>
                <w:rFonts w:ascii="Times New Roman" w:hAnsi="Times New Roman" w:cs="Times New Roman"/>
                <w:b/>
                <w:bCs/>
                <w:color w:val="000000"/>
                <w:sz w:val="24"/>
                <w:szCs w:val="24"/>
              </w:rPr>
              <w:tab/>
              <w:t>6. Перечень учебно-методического обеспечения для самостоятельной работы обучающихся по дисциплине</w:t>
            </w:r>
          </w:p>
        </w:tc>
      </w:tr>
      <w:tr w:rsidR="00AF5D70">
        <w:trPr>
          <w:trHeight w:hRule="exact" w:val="494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Методические указания для обучающихся по освоению дисциплины «Нарушения чтения и письма» / Котлярова Т.С.. – Омск: Изд-во Омской гуманитарной академии, 0. </w:t>
            </w:r>
            <w:r>
              <w:rPr>
                <w:rFonts w:ascii="Times New Roman" w:hAnsi="Times New Roman" w:cs="Times New Roman"/>
                <w:color w:val="000000"/>
                <w:sz w:val="24"/>
                <w:szCs w:val="24"/>
              </w:rPr>
              <w:br/>
              <w:t>2.</w:t>
            </w:r>
            <w:r>
              <w:rPr>
                <w:rFonts w:ascii="Times New Roman" w:hAnsi="Times New Roman" w:cs="Times New Roman"/>
                <w:color w:val="000000"/>
                <w:sz w:val="24"/>
                <w:szCs w:val="24"/>
              </w:rPr>
              <w:tab/>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Pr>
                <w:rFonts w:ascii="Times New Roman" w:hAnsi="Times New Roman" w:cs="Times New Roman"/>
                <w:color w:val="000000"/>
                <w:sz w:val="24"/>
                <w:szCs w:val="24"/>
              </w:rPr>
              <w:br/>
              <w:t>3.</w:t>
            </w:r>
            <w:r>
              <w:rPr>
                <w:rFonts w:ascii="Times New Roman" w:hAnsi="Times New Roman" w:cs="Times New Roman"/>
                <w:color w:val="000000"/>
                <w:sz w:val="24"/>
                <w:szCs w:val="24"/>
              </w:rPr>
              <w:tab/>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r>
              <w:rPr>
                <w:rFonts w:ascii="Times New Roman" w:hAnsi="Times New Roman" w:cs="Times New Roman"/>
                <w:color w:val="000000"/>
                <w:sz w:val="24"/>
                <w:szCs w:val="24"/>
              </w:rPr>
              <w:br/>
              <w:t>4.</w:t>
            </w:r>
            <w:r>
              <w:rPr>
                <w:rFonts w:ascii="Times New Roman" w:hAnsi="Times New Roman" w:cs="Times New Roman"/>
                <w:color w:val="000000"/>
                <w:sz w:val="24"/>
                <w:szCs w:val="24"/>
              </w:rPr>
              <w:tab/>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F5D70">
        <w:trPr>
          <w:trHeight w:hRule="exact" w:val="140"/>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9"/>
                <w:szCs w:val="9"/>
              </w:rPr>
            </w:pPr>
          </w:p>
        </w:tc>
        <w:tc>
          <w:tcPr>
            <w:tcW w:w="9671"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9"/>
                <w:szCs w:val="9"/>
              </w:rPr>
            </w:pPr>
          </w:p>
        </w:tc>
      </w:tr>
      <w:tr w:rsidR="00AF5D70">
        <w:trPr>
          <w:trHeight w:hRule="exact" w:val="861"/>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6" w:lineRule="exact"/>
              <w:ind w:left="30" w:right="30"/>
              <w:rPr>
                <w:rFonts w:ascii="Times New Roman" w:hAnsi="Times New Roman" w:cs="Times New Roman"/>
                <w:b/>
                <w:bCs/>
                <w:color w:val="000000"/>
                <w:sz w:val="24"/>
                <w:szCs w:val="24"/>
              </w:rPr>
            </w:pPr>
            <w:r>
              <w:rPr>
                <w:rFonts w:ascii="Times New Roman" w:hAnsi="Times New Roman" w:cs="Times New Roman"/>
                <w:b/>
                <w:bCs/>
                <w:color w:val="000000"/>
                <w:sz w:val="24"/>
                <w:szCs w:val="24"/>
              </w:rPr>
              <w:tab/>
              <w:t>7. Перечень основной и дополнительной учебной литературы, необходимой для освоения дисциплины</w:t>
            </w:r>
            <w:r>
              <w:rPr>
                <w:rFonts w:ascii="Times New Roman" w:hAnsi="Times New Roman" w:cs="Times New Roman"/>
                <w:b/>
                <w:bCs/>
                <w:color w:val="000000"/>
                <w:sz w:val="24"/>
                <w:szCs w:val="24"/>
              </w:rPr>
              <w:br/>
              <w:t>Основная:</w:t>
            </w:r>
          </w:p>
        </w:tc>
      </w:tr>
    </w:tbl>
    <w:p w:rsidR="00AF5D70" w:rsidRDefault="00AF5D70">
      <w:pPr>
        <w:widowControl w:val="0"/>
        <w:autoSpaceDE w:val="0"/>
        <w:autoSpaceDN w:val="0"/>
        <w:adjustRightInd w:val="0"/>
        <w:spacing w:after="0" w:line="240" w:lineRule="auto"/>
        <w:rPr>
          <w:rFonts w:ascii="Tahoma" w:hAnsi="Tahoma" w:cs="Tahoma"/>
          <w:sz w:val="24"/>
          <w:szCs w:val="24"/>
        </w:rPr>
        <w:sectPr w:rsidR="00AF5D70">
          <w:pgSz w:w="11906" w:h="16838"/>
          <w:pgMar w:top="567" w:right="567" w:bottom="567" w:left="567" w:header="720" w:footer="720" w:gutter="0"/>
          <w:cols w:space="720"/>
          <w:noEndnote/>
        </w:sectPr>
      </w:pPr>
    </w:p>
    <w:tbl>
      <w:tblPr>
        <w:tblW w:w="0" w:type="auto"/>
        <w:tblLayout w:type="fixed"/>
        <w:tblCellMar>
          <w:left w:w="15" w:type="dxa"/>
          <w:right w:w="15" w:type="dxa"/>
        </w:tblCellMar>
        <w:tblLook w:val="0000" w:firstRow="0" w:lastRow="0" w:firstColumn="0" w:lastColumn="0" w:noHBand="0" w:noVBand="0"/>
      </w:tblPr>
      <w:tblGrid>
        <w:gridCol w:w="996"/>
        <w:gridCol w:w="142"/>
        <w:gridCol w:w="284"/>
        <w:gridCol w:w="9387"/>
      </w:tblGrid>
      <w:tr w:rsidR="00AF5D70">
        <w:trPr>
          <w:trHeight w:hRule="exact" w:val="826"/>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F5D70" w:rsidRDefault="00852EBF">
            <w:pPr>
              <w:widowControl w:val="0"/>
              <w:autoSpaceDE w:val="0"/>
              <w:autoSpaceDN w:val="0"/>
              <w:adjustRightInd w:val="0"/>
              <w:spacing w:after="0" w:line="274"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Основы логопедии: нарушения письменной речи у младших школьников / Поварова И. А., Гончарова В. А.. - 2-е изд. - Москва: Юрайт, 2021. - 139 с . -  ISBN: 978-5-534-10552-0. - URL: </w:t>
            </w:r>
            <w:hyperlink r:id="rId4" w:history="1">
              <w:r w:rsidR="00C425AC">
                <w:rPr>
                  <w:rStyle w:val="a3"/>
                  <w:rFonts w:ascii="Times New Roman" w:hAnsi="Times New Roman" w:cs="Times New Roman"/>
                  <w:sz w:val="24"/>
                  <w:szCs w:val="24"/>
                </w:rPr>
                <w:t>https://urait.ru/bcode/475091</w:t>
              </w:r>
            </w:hyperlink>
          </w:p>
        </w:tc>
      </w:tr>
      <w:tr w:rsidR="00AF5D70">
        <w:trPr>
          <w:trHeight w:hRule="exact" w:val="2178"/>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2"/>
            <w:tcBorders>
              <w:top w:val="nil"/>
              <w:left w:val="nil"/>
              <w:bottom w:val="nil"/>
              <w:right w:val="nil"/>
            </w:tcBorders>
            <w:shd w:val="clear" w:color="auto" w:fill="FFFFFF"/>
          </w:tcPr>
          <w:p w:rsidR="00AF5D70" w:rsidRDefault="00852EBF">
            <w:pPr>
              <w:widowControl w:val="0"/>
              <w:autoSpaceDE w:val="0"/>
              <w:autoSpaceDN w:val="0"/>
              <w:adjustRightInd w:val="0"/>
              <w:spacing w:after="0" w:line="274"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Нарушения письма и чтения у детей: изучение и коррекция / Агрис А. Р., Алмазова А. А., Алтухова Т. А., Ахутина Т. В., Бабина Г. В., Бабина Е. Д., Величенкова О. А., Вятлева Ю. Е., Гаранина Л. А., Елецкая О. В., Зубарева Т. Г., Иншакова О. Б., Киселева Н. Ю., Корнев А. Н., (Панкратова) Н. С., Кузева О. В., Лагутина А. В., Логинова Е. А., Прищепова И. В., Российская Е. Н., Русецкая М. Н., Шашкина Г. Р., Шулекина Ю. А., Величенковой О. А.. - Нарушения письма и чтения у детей: изучение и коррекция - Москва: Логомаг, 2018. - 372 с.  -  ISBN: 2227-8397. - URL: </w:t>
            </w:r>
            <w:hyperlink r:id="rId5" w:history="1">
              <w:r w:rsidR="00C425AC">
                <w:rPr>
                  <w:rStyle w:val="a3"/>
                  <w:rFonts w:ascii="Times New Roman" w:hAnsi="Times New Roman" w:cs="Times New Roman"/>
                  <w:sz w:val="24"/>
                  <w:szCs w:val="24"/>
                </w:rPr>
                <w:t>http://www.iprbookshop.ru/77039.html</w:t>
              </w:r>
            </w:hyperlink>
          </w:p>
        </w:tc>
      </w:tr>
      <w:tr w:rsidR="00AF5D70">
        <w:trPr>
          <w:trHeight w:hRule="exact" w:val="278"/>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18"/>
                <w:szCs w:val="18"/>
              </w:rPr>
            </w:pPr>
          </w:p>
        </w:tc>
        <w:tc>
          <w:tcPr>
            <w:tcW w:w="284" w:type="dxa"/>
            <w:tcBorders>
              <w:top w:val="nil"/>
              <w:left w:val="nil"/>
              <w:bottom w:val="nil"/>
              <w:right w:val="nil"/>
            </w:tcBorders>
            <w:shd w:val="clear" w:color="auto" w:fill="FFFFFF"/>
          </w:tcPr>
          <w:p w:rsidR="00AF5D70" w:rsidRDefault="00AF5D70">
            <w:pPr>
              <w:widowControl w:val="0"/>
              <w:autoSpaceDE w:val="0"/>
              <w:autoSpaceDN w:val="0"/>
              <w:adjustRightInd w:val="0"/>
              <w:spacing w:after="0" w:line="240" w:lineRule="auto"/>
              <w:rPr>
                <w:rFonts w:ascii="Tahoma" w:hAnsi="Tahoma" w:cs="Tahoma"/>
                <w:sz w:val="18"/>
                <w:szCs w:val="18"/>
              </w:rPr>
            </w:pPr>
          </w:p>
        </w:tc>
        <w:tc>
          <w:tcPr>
            <w:tcW w:w="9387" w:type="dxa"/>
            <w:tcBorders>
              <w:top w:val="nil"/>
              <w:left w:val="nil"/>
              <w:bottom w:val="nil"/>
              <w:right w:val="nil"/>
            </w:tcBorders>
            <w:shd w:val="clear" w:color="auto" w:fill="FFFFFF"/>
          </w:tcPr>
          <w:p w:rsidR="00AF5D70" w:rsidRDefault="00852EBF">
            <w:pPr>
              <w:widowControl w:val="0"/>
              <w:autoSpaceDE w:val="0"/>
              <w:autoSpaceDN w:val="0"/>
              <w:adjustRightInd w:val="0"/>
              <w:spacing w:after="0" w:line="274" w:lineRule="exact"/>
              <w:ind w:left="30" w:right="30"/>
              <w:rPr>
                <w:rFonts w:ascii="Times New Roman" w:hAnsi="Times New Roman" w:cs="Times New Roman"/>
                <w:i/>
                <w:iCs/>
                <w:color w:val="000000"/>
                <w:sz w:val="24"/>
                <w:szCs w:val="24"/>
              </w:rPr>
            </w:pPr>
            <w:r>
              <w:rPr>
                <w:rFonts w:ascii="Times New Roman" w:hAnsi="Times New Roman" w:cs="Times New Roman"/>
                <w:i/>
                <w:iCs/>
                <w:color w:val="000000"/>
                <w:sz w:val="24"/>
                <w:szCs w:val="24"/>
              </w:rPr>
              <w:t>Дополнительная:</w:t>
            </w:r>
          </w:p>
        </w:tc>
      </w:tr>
      <w:tr w:rsidR="00AF5D70">
        <w:trPr>
          <w:trHeight w:hRule="exact" w:val="27"/>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
                <w:szCs w:val="2"/>
              </w:rPr>
            </w:pPr>
          </w:p>
        </w:tc>
        <w:tc>
          <w:tcPr>
            <w:tcW w:w="9671" w:type="dxa"/>
            <w:gridSpan w:val="2"/>
            <w:vMerge w:val="restart"/>
            <w:tcBorders>
              <w:top w:val="nil"/>
              <w:left w:val="nil"/>
              <w:bottom w:val="nil"/>
              <w:right w:val="nil"/>
            </w:tcBorders>
            <w:shd w:val="clear" w:color="auto" w:fill="FFFFFF"/>
          </w:tcPr>
          <w:p w:rsidR="00AF5D70" w:rsidRDefault="00852EBF">
            <w:pPr>
              <w:widowControl w:val="0"/>
              <w:autoSpaceDE w:val="0"/>
              <w:autoSpaceDN w:val="0"/>
              <w:adjustRightInd w:val="0"/>
              <w:spacing w:after="0" w:line="274" w:lineRule="exact"/>
              <w:ind w:left="30" w:right="30" w:firstLine="6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Логопедия: дизорфография у детей / Прищепова И. В.. -  Москва: Юрайт, 2021. - 201 с . -  ISBN: 978-5-534-11095-1. - URL: </w:t>
            </w:r>
            <w:hyperlink r:id="rId6" w:history="1">
              <w:r w:rsidR="00C425AC">
                <w:rPr>
                  <w:rStyle w:val="a3"/>
                  <w:rFonts w:ascii="Times New Roman" w:hAnsi="Times New Roman" w:cs="Times New Roman"/>
                  <w:sz w:val="24"/>
                  <w:szCs w:val="24"/>
                </w:rPr>
                <w:t>https://urait.ru/bcode/475295</w:t>
              </w:r>
            </w:hyperlink>
          </w:p>
        </w:tc>
      </w:tr>
      <w:tr w:rsidR="00AF5D70">
        <w:trPr>
          <w:trHeight w:hRule="exact" w:val="529"/>
        </w:trPr>
        <w:tc>
          <w:tcPr>
            <w:tcW w:w="996"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142" w:type="dxa"/>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c>
          <w:tcPr>
            <w:tcW w:w="9671" w:type="dxa"/>
            <w:gridSpan w:val="2"/>
            <w:vMerge/>
            <w:tcBorders>
              <w:top w:val="nil"/>
              <w:left w:val="nil"/>
              <w:bottom w:val="nil"/>
              <w:right w:val="nil"/>
            </w:tcBorders>
          </w:tcPr>
          <w:p w:rsidR="00AF5D70" w:rsidRDefault="00AF5D70">
            <w:pPr>
              <w:widowControl w:val="0"/>
              <w:autoSpaceDE w:val="0"/>
              <w:autoSpaceDN w:val="0"/>
              <w:adjustRightInd w:val="0"/>
              <w:spacing w:after="0" w:line="240" w:lineRule="auto"/>
              <w:rPr>
                <w:rFonts w:ascii="Tahoma" w:hAnsi="Tahoma" w:cs="Tahoma"/>
                <w:sz w:val="20"/>
                <w:szCs w:val="20"/>
              </w:rPr>
            </w:pPr>
          </w:p>
        </w:tc>
      </w:tr>
    </w:tbl>
    <w:p w:rsidR="00AF5D70" w:rsidRDefault="00AF5D70"/>
    <w:sectPr w:rsidR="00AF5D70">
      <w:pgSz w:w="11906" w:h="16838"/>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EBF"/>
    <w:rsid w:val="0005609D"/>
    <w:rsid w:val="00087D43"/>
    <w:rsid w:val="00852EBF"/>
    <w:rsid w:val="00AF5D70"/>
    <w:rsid w:val="00C4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4D4D54-A7AB-4E3F-AEE4-1B7CEDF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609D"/>
    <w:rPr>
      <w:color w:val="0563C1" w:themeColor="hyperlink"/>
      <w:u w:val="single"/>
    </w:rPr>
  </w:style>
  <w:style w:type="character" w:styleId="a4">
    <w:name w:val="Unresolved Mention"/>
    <w:basedOn w:val="a0"/>
    <w:uiPriority w:val="99"/>
    <w:semiHidden/>
    <w:unhideWhenUsed/>
    <w:rsid w:val="0005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75295" TargetMode="External"/><Relationship Id="rId5" Type="http://schemas.openxmlformats.org/officeDocument/2006/relationships/hyperlink" Target="http://www.iprbookshop.ru/77039.html" TargetMode="External"/><Relationship Id="rId4" Type="http://schemas.openxmlformats.org/officeDocument/2006/relationships/hyperlink" Target="https://urait.ru/bcode/475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5277</Words>
  <Characters>30085</Characters>
  <Application>Microsoft Office Word</Application>
  <DocSecurity>0</DocSecurity>
  <Lines>250</Lines>
  <Paragraphs>70</Paragraphs>
  <ScaleCrop>false</ScaleCrop>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2021-2022_ФГОС3++2021_Бак-ОФО-СДО(Логопедия)(21)_plx_Нарушения чтения и письма</dc:title>
  <dc:subject/>
  <dc:creator>FastReport</dc:creator>
  <cp:keywords/>
  <dc:description/>
  <cp:lastModifiedBy>Mark Bernstorf</cp:lastModifiedBy>
  <cp:revision>5</cp:revision>
  <dcterms:created xsi:type="dcterms:W3CDTF">2022-04-21T13:24:00Z</dcterms:created>
  <dcterms:modified xsi:type="dcterms:W3CDTF">2022-11-13T16:01:00Z</dcterms:modified>
</cp:coreProperties>
</file>